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7C" w:rsidRDefault="005718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187C" w:rsidRDefault="0057187C">
      <w:pPr>
        <w:pStyle w:val="ConsPlusNormal"/>
        <w:jc w:val="both"/>
        <w:outlineLvl w:val="0"/>
      </w:pPr>
    </w:p>
    <w:p w:rsidR="0057187C" w:rsidRDefault="0057187C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Title"/>
        <w:jc w:val="center"/>
      </w:pPr>
      <w:r>
        <w:t>СУДЕБНАЯ ПРАКТИКА ПО ЗАКОНУ N 44-ФЗ:</w:t>
      </w:r>
    </w:p>
    <w:p w:rsidR="0057187C" w:rsidRDefault="0057187C">
      <w:pPr>
        <w:pStyle w:val="ConsPlusTitle"/>
        <w:jc w:val="center"/>
      </w:pPr>
      <w:r>
        <w:t>ОБЗОР ЗА 24 - 28 ИЮНЯ</w:t>
      </w:r>
    </w:p>
    <w:p w:rsidR="0057187C" w:rsidRDefault="0057187C">
      <w:pPr>
        <w:pStyle w:val="ConsPlusNormal"/>
        <w:jc w:val="center"/>
      </w:pPr>
    </w:p>
    <w:p w:rsidR="0057187C" w:rsidRDefault="0057187C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03.07.2019.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</w:pPr>
      <w:r>
        <w:t>Мы отобрали 9 интересных постановлений, включенных в систему КонсультантПлюс на прошлой неделе. Чем грозит выполнение не предусмотренных контрактом работ, как проводить расчеты с контрагентами на УСН, что можно потребовать в заявке на закупку медизделий - вот лишь часть вопросов, затронутых в обзоре.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Title"/>
        <w:jc w:val="center"/>
        <w:outlineLvl w:val="0"/>
      </w:pPr>
      <w:r>
        <w:t>Заказчикам и участникам закупок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  <w:outlineLvl w:val="1"/>
      </w:pPr>
      <w:r>
        <w:rPr>
          <w:b/>
        </w:rPr>
        <w:t>Заказчик не вправе отказаться от контракта, если не обеспечил условий для его исполнения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>Подрядчик не смог отремонтировать оборудование из-за того, что здание находилось в аварийном состоянии. Подрядчик успешно оспорил односторонний отказ заказчика от контракта. В такой ситуации просрочившим считается сам заказчик, а срок исполнения контракта продлевается на период просрочки.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18.06.2019 по делу N А03-936/2018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Title"/>
        <w:jc w:val="center"/>
        <w:outlineLvl w:val="0"/>
      </w:pPr>
      <w:r>
        <w:t>Участникам закупок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  <w:outlineLvl w:val="1"/>
      </w:pPr>
      <w:r>
        <w:rPr>
          <w:b/>
        </w:rPr>
        <w:t>Не соглашайтесь работать в обход 44-ФЗ, даже если заказчик настаивает на этом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 xml:space="preserve">Из судебной практики не исчезают дела с одним и тем же сценарием: подрядчик по просьбе заказчика выполняет неучтенные контрактом работы, зачастую получая письменные заверения в оплате, а в итоге остается ни с чем. Суды во взыскании оплаты реально выполненных работ отказывают - нужно было оформить свои отношения по </w:t>
      </w:r>
      <w:hyperlink r:id="rId7" w:history="1">
        <w:r>
          <w:rPr>
            <w:color w:val="0000FF"/>
          </w:rPr>
          <w:t>Закону</w:t>
        </w:r>
      </w:hyperlink>
      <w:r>
        <w:t xml:space="preserve"> N 44-ФЗ.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</w:pPr>
      <w:r>
        <w:rPr>
          <w:i/>
        </w:rPr>
        <w:t xml:space="preserve">Документы: Постановления АС Северо-Западного округа от 13.06.2019 по делу </w:t>
      </w:r>
      <w:hyperlink r:id="rId8" w:history="1">
        <w:r>
          <w:rPr>
            <w:i/>
            <w:color w:val="0000FF"/>
          </w:rPr>
          <w:t>N А13-15824/2017</w:t>
        </w:r>
      </w:hyperlink>
      <w:r>
        <w:rPr>
          <w:i/>
        </w:rPr>
        <w:t xml:space="preserve">, от 06.06.2019 по делу </w:t>
      </w:r>
      <w:hyperlink r:id="rId9" w:history="1">
        <w:r>
          <w:rPr>
            <w:i/>
            <w:color w:val="0000FF"/>
          </w:rPr>
          <w:t>N А21-1850/2018</w:t>
        </w:r>
      </w:hyperlink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</w:pPr>
      <w:r>
        <w:t>Есть счастливые исключения. Когда из-за нерасторопности заказчика на новый срок контракт заключен не был, а оказание услуг прекращать ни в коем случае нельзя (например, они нужны для нормального жизнеобеспечения), оплату взыщут.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0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Уральского округа от 13.06.2019 по делу N А34-7663/2018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Title"/>
        <w:jc w:val="center"/>
        <w:outlineLvl w:val="0"/>
      </w:pPr>
      <w:r>
        <w:t>Заказчикам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  <w:outlineLvl w:val="1"/>
      </w:pPr>
      <w:r>
        <w:rPr>
          <w:b/>
        </w:rPr>
        <w:t>Требование проверяющих вычитать сумму НДС из оплаты контрагенту на УСН незаконно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 xml:space="preserve">Заказчик использовал для определения цены контрактов сметную стоимость с учетом НДС. Исполнителями контрактов стали организации на УСН, т.е. неплательщики НДС. Контролеры </w:t>
      </w:r>
      <w:hyperlink r:id="rId11" w:history="1">
        <w:r>
          <w:rPr>
            <w:color w:val="0000FF"/>
          </w:rPr>
          <w:t>сочли</w:t>
        </w:r>
      </w:hyperlink>
      <w:r>
        <w:t xml:space="preserve">, что перечисление исполнителям всей цены контракта - нецелевое расходование </w:t>
      </w:r>
      <w:r>
        <w:lastRenderedPageBreak/>
        <w:t>бюджетных средств.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>Окружной суд такой подход отверг, цена контракта является твердой и не должна меняться в зависимости от применяемой участником закупки системы налогообложения. Той же позиции придерживается ФАС, подробности в нашей новости.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2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Арбитражного суда Западно-Сибирского округа от 17.06.2019 по делу N А45-37023/2018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  <w:outlineLvl w:val="1"/>
      </w:pPr>
      <w:r>
        <w:rPr>
          <w:b/>
        </w:rPr>
        <w:t>Не нужно использовать в тексте контракта "банковские дни"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 xml:space="preserve">По закону предельный срок оплаты контракта при закупках у СМСП - </w:t>
      </w:r>
      <w:hyperlink r:id="rId13" w:history="1">
        <w:r>
          <w:rPr>
            <w:color w:val="0000FF"/>
          </w:rPr>
          <w:t>15 рабочих дней</w:t>
        </w:r>
      </w:hyperlink>
      <w:r>
        <w:t xml:space="preserve">. Заказчик в проекте указал срок в банковских днях. УФАС посчитал формулировку заказчика нарушением, суды поддержали </w:t>
      </w:r>
      <w:proofErr w:type="gramStart"/>
      <w:r>
        <w:t>проверяющих</w:t>
      </w:r>
      <w:proofErr w:type="gramEnd"/>
      <w:r>
        <w:t>.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</w:pPr>
      <w:r>
        <w:rPr>
          <w:i/>
        </w:rPr>
        <w:t xml:space="preserve">Документы: Постановления АС Северо-Западного округа от 14.06.2019 по делу </w:t>
      </w:r>
      <w:hyperlink r:id="rId14" w:history="1">
        <w:r>
          <w:rPr>
            <w:i/>
            <w:color w:val="0000FF"/>
          </w:rPr>
          <w:t>N А52-3340/2018</w:t>
        </w:r>
      </w:hyperlink>
      <w:r>
        <w:rPr>
          <w:i/>
        </w:rPr>
        <w:t xml:space="preserve">, АС Дальневосточного округа от 14.06.2019 по делу </w:t>
      </w:r>
      <w:hyperlink r:id="rId15" w:history="1">
        <w:r>
          <w:rPr>
            <w:i/>
            <w:color w:val="0000FF"/>
          </w:rPr>
          <w:t>N А73-18495/2018</w:t>
        </w:r>
      </w:hyperlink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  <w:outlineLvl w:val="1"/>
      </w:pPr>
      <w:r>
        <w:rPr>
          <w:b/>
        </w:rPr>
        <w:t>Требование указывать конкретные номера ГОСТов можно успешно оспорить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>Заказчик вправе указать обобщенное требование о соответствии товара ГОСТам. Отсутствие конкретизации ГОСТов при условии, что описанные в документации характеристики товара им не противоречат, нарушением не является.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Поволжского округа от 28.05.2019 по делу N А65-27961/20180</w:t>
      </w:r>
    </w:p>
    <w:p w:rsidR="0057187C" w:rsidRDefault="0057187C">
      <w:pPr>
        <w:pStyle w:val="ConsPlusNormal"/>
        <w:ind w:firstLine="540"/>
        <w:jc w:val="both"/>
      </w:pPr>
    </w:p>
    <w:p w:rsidR="0057187C" w:rsidRDefault="0057187C">
      <w:pPr>
        <w:pStyle w:val="ConsPlusNormal"/>
        <w:ind w:firstLine="540"/>
        <w:jc w:val="both"/>
        <w:outlineLvl w:val="1"/>
      </w:pPr>
      <w:r>
        <w:rPr>
          <w:b/>
        </w:rPr>
        <w:t>Заказчик вправе потребовать представить в составе заявки регистрационные удостоверения на медизделия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>Антимонопольный орган посчитал, что заказчику достаточно информации о реквизитах регистрационных удостоверений. Их можно перепроверить через Интернет. Суд, в свою очередь, поддержал заказчика.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t xml:space="preserve">Отметим: среди антимонопольных органов нет единства по данному вопросу. В некоторых регионах, наоборот, они считают, что заказчики </w:t>
      </w:r>
      <w:hyperlink r:id="rId17" w:history="1">
        <w:r>
          <w:rPr>
            <w:color w:val="0000FF"/>
          </w:rPr>
          <w:t>обязаны требовать</w:t>
        </w:r>
      </w:hyperlink>
      <w:r>
        <w:t xml:space="preserve"> в составе заявки копии регистрационных удостоверений.</w:t>
      </w:r>
    </w:p>
    <w:p w:rsidR="0057187C" w:rsidRDefault="0057187C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13.06.2019 по делу N А40-185526/2018</w:t>
      </w:r>
    </w:p>
    <w:p w:rsidR="0057187C" w:rsidRDefault="0057187C">
      <w:pPr>
        <w:pStyle w:val="ConsPlusNormal"/>
        <w:jc w:val="both"/>
      </w:pPr>
    </w:p>
    <w:p w:rsidR="0057187C" w:rsidRDefault="0057187C">
      <w:pPr>
        <w:pStyle w:val="ConsPlusNormal"/>
        <w:jc w:val="both"/>
      </w:pPr>
    </w:p>
    <w:p w:rsidR="0057187C" w:rsidRDefault="00571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874" w:rsidRDefault="008F3874">
      <w:bookmarkStart w:id="0" w:name="_GoBack"/>
      <w:bookmarkEnd w:id="0"/>
    </w:p>
    <w:sectPr w:rsidR="008F3874" w:rsidSect="007F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C"/>
    <w:rsid w:val="0057187C"/>
    <w:rsid w:val="008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2AA3B8701AB47B820DFF7E7E94DDD743DD4B62660C4EFC2C4E77279967EB33587B2C7EB95280D23C7B9983E1C1C38E8BFFFBF434228D1q2b1I" TargetMode="External"/><Relationship Id="rId13" Type="http://schemas.openxmlformats.org/officeDocument/2006/relationships/hyperlink" Target="consultantplus://offline/ref=C6E2AA3B8701AB47B820C0E5EAE94DDD753ED7B32A62C4EFC2C4E77279967EB33587B2C7EB97280E26C7B9983E1C1C38E8BFFFBF434228D1q2b1I" TargetMode="External"/><Relationship Id="rId18" Type="http://schemas.openxmlformats.org/officeDocument/2006/relationships/hyperlink" Target="consultantplus://offline/ref=C6E2AA3B8701AB47B820DFE9EEE94DDD753ED0B72964C4EFC2C4E77279967EB33587B2C7EB95280B20C7B9983E1C1C38E8BFFFBF434228D1q2b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2AA3B8701AB47B820C0E5EAE94DDD753DD6B02B62C4EFC2C4E77279967EB32787EACBEA93360F29D2EFC97Bq4b0I" TargetMode="External"/><Relationship Id="rId12" Type="http://schemas.openxmlformats.org/officeDocument/2006/relationships/hyperlink" Target="consultantplus://offline/ref=C6E2AA3B8701AB47B820DFFEEEE94DDD7739D5BB2A63C4EFC2C4E77279967EB33587B2C7EB95280A22C7B9983E1C1C38E8BFFFBF434228D1q2b1I" TargetMode="External"/><Relationship Id="rId17" Type="http://schemas.openxmlformats.org/officeDocument/2006/relationships/hyperlink" Target="consultantplus://offline/ref=C6E2AA3B8701AB47B820CDF6FFE94DDD733DD7B12665C4EFC2C4E77279967EB33587B2C7EB95280E20C7B9983E1C1C38E8BFFFBF434228D1q2b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E2AA3B8701AB47B820DFF4EBE94DDD773BD5B22C6CC4EFC2C4E77279967EB33587B2C7EB95280B2A98BC8D2F44103FF0A1F7A95F4029qDb9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2AA3B8701AB47B820DFFEEEE94DDD7739D5B42763C4EFC2C4E77279967EB33587B2C7EB95280C26C7B9983E1C1C38E8BFFFBF434228D1q2b1I" TargetMode="External"/><Relationship Id="rId11" Type="http://schemas.openxmlformats.org/officeDocument/2006/relationships/hyperlink" Target="consultantplus://offline/ref=C6E2AA3B8701AB47B820DFFEEEE94DDD7739D5BB2A63C4EFC2C4E77279967EB33587B2C7EB95280C24C7B9983E1C1C38E8BFFFBF434228D1q2b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6E2AA3B8701AB47B820DFE0EBE94DDD773CDAB02C63C4EFC2C4E77279967EB33587B2C7EB95280C26C7B9983E1C1C38E8BFFFBF434228D1q2b1I" TargetMode="External"/><Relationship Id="rId10" Type="http://schemas.openxmlformats.org/officeDocument/2006/relationships/hyperlink" Target="consultantplus://offline/ref=C6E2AA3B8701AB47B820DFF1EFE94DDD743CD0B22964C4EFC2C4E77279967EB33587B2C7EB95280920C7B9983E1C1C38E8BFFFBF434228D1q2b1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2AA3B8701AB47B820DFF7E7E94DDD743DD4B72F61C4EFC2C4E77279967EB33587B2C7EB95280C21C7B9983E1C1C38E8BFFFBF434228D1q2b1I" TargetMode="External"/><Relationship Id="rId14" Type="http://schemas.openxmlformats.org/officeDocument/2006/relationships/hyperlink" Target="consultantplus://offline/ref=C6E2AA3B8701AB47B820DFF7E7E94DDD743DD4B52D67C4EFC2C4E77279967EB33587B2C7EB95280925C7B9983E1C1C38E8BFFFBF434228D1q2b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2019-08-16T08:27:00Z</dcterms:created>
  <dcterms:modified xsi:type="dcterms:W3CDTF">2019-08-16T08:27:00Z</dcterms:modified>
</cp:coreProperties>
</file>